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6876"/>
      </w:tblGrid>
      <w:tr w:rsidR="005B7FB6" w14:paraId="54EB3BE0" w14:textId="77777777" w:rsidTr="00435160">
        <w:trPr>
          <w:trHeight w:val="44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97F1020" w14:textId="4F9F3C9C" w:rsidR="005B7FB6" w:rsidRPr="005B7FB6" w:rsidRDefault="005B7FB6" w:rsidP="005B7FB6">
            <w:pPr>
              <w:rPr>
                <w:b/>
                <w:bCs/>
                <w:sz w:val="28"/>
                <w:szCs w:val="28"/>
              </w:rPr>
            </w:pPr>
            <w:r w:rsidRPr="005B7FB6">
              <w:rPr>
                <w:b/>
                <w:bCs/>
                <w:sz w:val="28"/>
                <w:szCs w:val="28"/>
              </w:rPr>
              <w:t>Meeting: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A9A7F5A" w14:textId="32EFFF14" w:rsidR="005B7FB6" w:rsidRPr="005B7FB6" w:rsidRDefault="005B7FB6" w:rsidP="005B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NZISM Hawkes Bay AGM Minutes</w:t>
            </w:r>
          </w:p>
        </w:tc>
        <w:tc>
          <w:tcPr>
            <w:tcW w:w="67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96D4" w14:textId="6388AC1A" w:rsidR="005B7FB6" w:rsidRDefault="005B7FB6" w:rsidP="005B7FB6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0D3F3C56" wp14:editId="47CF8BAA">
                  <wp:extent cx="4227830" cy="107568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166" cy="109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B6" w14:paraId="592B9575" w14:textId="77777777" w:rsidTr="00435160">
        <w:trPr>
          <w:trHeight w:val="449"/>
        </w:trPr>
        <w:tc>
          <w:tcPr>
            <w:tcW w:w="1555" w:type="dxa"/>
            <w:vAlign w:val="center"/>
          </w:tcPr>
          <w:p w14:paraId="5F64D9C3" w14:textId="63B44B76" w:rsidR="005B7FB6" w:rsidRPr="005B7FB6" w:rsidRDefault="005B7FB6" w:rsidP="005B7FB6">
            <w:pPr>
              <w:rPr>
                <w:b/>
                <w:bCs/>
                <w:sz w:val="28"/>
                <w:szCs w:val="28"/>
              </w:rPr>
            </w:pPr>
            <w:r w:rsidRPr="005B7FB6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5670" w:type="dxa"/>
            <w:vAlign w:val="center"/>
          </w:tcPr>
          <w:p w14:paraId="3B03026E" w14:textId="0AF4B439" w:rsidR="005B7FB6" w:rsidRPr="005B7FB6" w:rsidRDefault="005B7FB6" w:rsidP="005B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June 2022</w:t>
            </w:r>
          </w:p>
        </w:tc>
        <w:tc>
          <w:tcPr>
            <w:tcW w:w="6723" w:type="dxa"/>
            <w:vMerge/>
            <w:tcBorders>
              <w:bottom w:val="single" w:sz="4" w:space="0" w:color="auto"/>
            </w:tcBorders>
          </w:tcPr>
          <w:p w14:paraId="7D8101B6" w14:textId="77777777" w:rsidR="005B7FB6" w:rsidRDefault="005B7FB6"/>
        </w:tc>
      </w:tr>
      <w:tr w:rsidR="005B7FB6" w14:paraId="7B4D5F86" w14:textId="77777777" w:rsidTr="00435160">
        <w:trPr>
          <w:trHeight w:val="449"/>
        </w:trPr>
        <w:tc>
          <w:tcPr>
            <w:tcW w:w="1555" w:type="dxa"/>
            <w:vAlign w:val="center"/>
          </w:tcPr>
          <w:p w14:paraId="78118A88" w14:textId="5C0FB7D0" w:rsidR="005B7FB6" w:rsidRPr="005B7FB6" w:rsidRDefault="005B7FB6" w:rsidP="005B7FB6">
            <w:pPr>
              <w:rPr>
                <w:b/>
                <w:bCs/>
                <w:sz w:val="28"/>
                <w:szCs w:val="28"/>
              </w:rPr>
            </w:pPr>
            <w:r w:rsidRPr="005B7FB6">
              <w:rPr>
                <w:b/>
                <w:bCs/>
                <w:sz w:val="28"/>
                <w:szCs w:val="28"/>
              </w:rPr>
              <w:t>Time:</w:t>
            </w:r>
          </w:p>
        </w:tc>
        <w:tc>
          <w:tcPr>
            <w:tcW w:w="5670" w:type="dxa"/>
            <w:vAlign w:val="center"/>
          </w:tcPr>
          <w:p w14:paraId="53FC8C39" w14:textId="5E4E410B" w:rsidR="005B7FB6" w:rsidRPr="005B7FB6" w:rsidRDefault="005B7FB6" w:rsidP="005B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3.30pm</w:t>
            </w:r>
          </w:p>
        </w:tc>
        <w:tc>
          <w:tcPr>
            <w:tcW w:w="6723" w:type="dxa"/>
            <w:vMerge/>
            <w:tcBorders>
              <w:bottom w:val="single" w:sz="4" w:space="0" w:color="auto"/>
            </w:tcBorders>
          </w:tcPr>
          <w:p w14:paraId="1A9C5AA0" w14:textId="77777777" w:rsidR="005B7FB6" w:rsidRDefault="005B7FB6"/>
        </w:tc>
      </w:tr>
      <w:tr w:rsidR="005B7FB6" w14:paraId="03DBE3F3" w14:textId="77777777" w:rsidTr="00435160">
        <w:trPr>
          <w:trHeight w:val="44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25688BF" w14:textId="330AEC0E" w:rsidR="005B7FB6" w:rsidRPr="005B7FB6" w:rsidRDefault="005B7FB6" w:rsidP="005B7FB6">
            <w:pPr>
              <w:rPr>
                <w:b/>
                <w:bCs/>
                <w:sz w:val="28"/>
                <w:szCs w:val="28"/>
              </w:rPr>
            </w:pPr>
            <w:r w:rsidRPr="005B7FB6">
              <w:rPr>
                <w:b/>
                <w:bCs/>
                <w:sz w:val="28"/>
                <w:szCs w:val="28"/>
              </w:rPr>
              <w:t>Venue: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CC8E4F9" w14:textId="42313D36" w:rsidR="005B7FB6" w:rsidRPr="005B7FB6" w:rsidRDefault="005B7FB6" w:rsidP="005B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Hastings District Council – Landmarks Room</w:t>
            </w:r>
          </w:p>
        </w:tc>
        <w:tc>
          <w:tcPr>
            <w:tcW w:w="6723" w:type="dxa"/>
            <w:vMerge/>
            <w:tcBorders>
              <w:bottom w:val="single" w:sz="4" w:space="0" w:color="auto"/>
            </w:tcBorders>
          </w:tcPr>
          <w:p w14:paraId="3204F947" w14:textId="77777777" w:rsidR="005B7FB6" w:rsidRDefault="005B7FB6"/>
        </w:tc>
      </w:tr>
    </w:tbl>
    <w:p w14:paraId="2D0E878C" w14:textId="07EE31AD" w:rsidR="00110466" w:rsidRDefault="00AB49AB"/>
    <w:p w14:paraId="57F47531" w14:textId="358C1B80" w:rsidR="00435160" w:rsidRDefault="00435160" w:rsidP="00BC194C">
      <w:pPr>
        <w:spacing w:line="240" w:lineRule="auto"/>
        <w:rPr>
          <w:rFonts w:ascii="Arial" w:hAnsi="Arial" w:cs="Arial"/>
          <w:sz w:val="24"/>
          <w:szCs w:val="24"/>
        </w:rPr>
      </w:pPr>
      <w:r w:rsidRPr="00435160"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Jennie Kuzman, Selena Armstrong</w:t>
      </w:r>
    </w:p>
    <w:p w14:paraId="6B59651B" w14:textId="77777777" w:rsidR="00435160" w:rsidRDefault="00435160" w:rsidP="00BC19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Jennie Kuzman, Amy Harris, Amo, Scotty Watson, Jo Roe, Ange Blom, Greg Lorkin, Dan Davis, </w:t>
      </w:r>
    </w:p>
    <w:p w14:paraId="167C5DF1" w14:textId="6FF97CEB" w:rsidR="00435160" w:rsidRDefault="00435160" w:rsidP="00BC194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McClusky, Jarrod Graham, Shimon Moses, Jo Graham</w:t>
      </w:r>
    </w:p>
    <w:p w14:paraId="513A3855" w14:textId="14C2C331" w:rsidR="00435160" w:rsidRPr="00BC194C" w:rsidRDefault="00435160" w:rsidP="00BC194C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 w:rsidRPr="00BC194C">
        <w:rPr>
          <w:rFonts w:ascii="Arial" w:hAnsi="Arial" w:cs="Arial"/>
          <w:sz w:val="24"/>
          <w:szCs w:val="24"/>
          <w:lang w:val="da-DK"/>
        </w:rPr>
        <w:t>Online Attendees:</w:t>
      </w:r>
      <w:r w:rsidRPr="00BC194C">
        <w:rPr>
          <w:rFonts w:ascii="Arial" w:hAnsi="Arial" w:cs="Arial"/>
          <w:sz w:val="24"/>
          <w:szCs w:val="24"/>
          <w:lang w:val="da-DK"/>
        </w:rPr>
        <w:tab/>
      </w:r>
      <w:r w:rsidR="00BC194C" w:rsidRPr="00BC194C">
        <w:rPr>
          <w:rFonts w:ascii="Arial" w:hAnsi="Arial" w:cs="Arial"/>
          <w:sz w:val="24"/>
          <w:szCs w:val="24"/>
          <w:lang w:val="da-DK"/>
        </w:rPr>
        <w:t>Karen Layman, Selena Armstrong, Anne Par</w:t>
      </w:r>
      <w:r w:rsidR="00BC194C">
        <w:rPr>
          <w:rFonts w:ascii="Arial" w:hAnsi="Arial" w:cs="Arial"/>
          <w:sz w:val="24"/>
          <w:szCs w:val="24"/>
          <w:lang w:val="da-DK"/>
        </w:rPr>
        <w:t>ker, Paddy</w:t>
      </w:r>
      <w:r w:rsidR="002B35D1">
        <w:rPr>
          <w:rFonts w:ascii="Arial" w:hAnsi="Arial" w:cs="Arial"/>
          <w:sz w:val="24"/>
          <w:szCs w:val="24"/>
          <w:lang w:val="da-DK"/>
        </w:rPr>
        <w:t xml:space="preserve"> Henry</w:t>
      </w:r>
    </w:p>
    <w:p w14:paraId="1A973B8C" w14:textId="717A9131" w:rsidR="00435160" w:rsidRDefault="00435160" w:rsidP="00BC19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Cory </w:t>
      </w:r>
      <w:proofErr w:type="spellStart"/>
      <w:r>
        <w:rPr>
          <w:rFonts w:ascii="Arial" w:hAnsi="Arial" w:cs="Arial"/>
          <w:sz w:val="24"/>
          <w:szCs w:val="24"/>
        </w:rPr>
        <w:t>Ubles</w:t>
      </w:r>
      <w:proofErr w:type="spellEnd"/>
      <w:r>
        <w:rPr>
          <w:rFonts w:ascii="Arial" w:hAnsi="Arial" w:cs="Arial"/>
          <w:sz w:val="24"/>
          <w:szCs w:val="24"/>
        </w:rPr>
        <w:t>, Mike Glassey, Muhammad Dean, Steve Grant, Brent Smith, Noel Giddens, Sarah Grant</w:t>
      </w:r>
    </w:p>
    <w:p w14:paraId="062101B6" w14:textId="3B4B4ECD" w:rsidR="00BC194C" w:rsidRDefault="00BC194C" w:rsidP="00BC194C">
      <w:pPr>
        <w:spacing w:line="240" w:lineRule="auto"/>
        <w:rPr>
          <w:rFonts w:ascii="Arial" w:hAnsi="Arial" w:cs="Arial"/>
          <w:sz w:val="24"/>
          <w:szCs w:val="24"/>
        </w:rPr>
      </w:pPr>
    </w:p>
    <w:p w14:paraId="531AE457" w14:textId="45BC9AE6" w:rsidR="00BC194C" w:rsidRDefault="00BC194C" w:rsidP="00BC194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recorded by Jo Graham.</w:t>
      </w:r>
    </w:p>
    <w:p w14:paraId="6F8F3E4C" w14:textId="41848EC4" w:rsidR="00BC194C" w:rsidRDefault="00BC194C" w:rsidP="00BC19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 began at 3:40pm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89"/>
        <w:gridCol w:w="7654"/>
        <w:gridCol w:w="1559"/>
        <w:gridCol w:w="2410"/>
      </w:tblGrid>
      <w:tr w:rsidR="00BC194C" w:rsidRPr="00BC194C" w14:paraId="53367D8C" w14:textId="77777777" w:rsidTr="00430CC2">
        <w:tc>
          <w:tcPr>
            <w:tcW w:w="2689" w:type="dxa"/>
          </w:tcPr>
          <w:p w14:paraId="3CA6BD85" w14:textId="4E6C14D0" w:rsidR="00BC194C" w:rsidRPr="00BC194C" w:rsidRDefault="00BC194C" w:rsidP="00BC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4C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654" w:type="dxa"/>
          </w:tcPr>
          <w:p w14:paraId="63C175A6" w14:textId="11E91BBE" w:rsidR="00BC194C" w:rsidRPr="00BC194C" w:rsidRDefault="00BC194C" w:rsidP="00BC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4C">
              <w:rPr>
                <w:rFonts w:ascii="Arial" w:hAnsi="Arial" w:cs="Arial"/>
                <w:b/>
                <w:bCs/>
                <w:sz w:val="24"/>
                <w:szCs w:val="24"/>
              </w:rPr>
              <w:t>Action Point / Discussion</w:t>
            </w:r>
          </w:p>
        </w:tc>
        <w:tc>
          <w:tcPr>
            <w:tcW w:w="1559" w:type="dxa"/>
          </w:tcPr>
          <w:p w14:paraId="0FCB5572" w14:textId="13BBE4F5" w:rsidR="00BC194C" w:rsidRPr="00BC194C" w:rsidRDefault="00BC194C" w:rsidP="00BC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4C"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0699BEB9" w14:textId="36C82AB5" w:rsidR="00BC194C" w:rsidRPr="00BC194C" w:rsidRDefault="00BC194C" w:rsidP="00BC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4C">
              <w:rPr>
                <w:rFonts w:ascii="Arial" w:hAnsi="Arial" w:cs="Arial"/>
                <w:b/>
                <w:bCs/>
                <w:sz w:val="24"/>
                <w:szCs w:val="24"/>
              </w:rPr>
              <w:t>Moved / Seconded</w:t>
            </w:r>
          </w:p>
        </w:tc>
      </w:tr>
      <w:tr w:rsidR="00BC194C" w14:paraId="4CF10986" w14:textId="77777777" w:rsidTr="00430CC2">
        <w:tc>
          <w:tcPr>
            <w:tcW w:w="2689" w:type="dxa"/>
          </w:tcPr>
          <w:p w14:paraId="13359180" w14:textId="1E5A4BEF" w:rsidR="00BC194C" w:rsidRDefault="00BC194C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AGM Minutes</w:t>
            </w:r>
          </w:p>
        </w:tc>
        <w:tc>
          <w:tcPr>
            <w:tcW w:w="7654" w:type="dxa"/>
          </w:tcPr>
          <w:p w14:paraId="200AF277" w14:textId="77777777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Moved: Ange Blom      Seconded: Jarrod Graham</w:t>
            </w:r>
          </w:p>
          <w:p w14:paraId="091B901A" w14:textId="64D50BA6" w:rsidR="00A64EBD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formal matters arising. No questions from Branch Members present. Minutes moved as true and correct.</w:t>
            </w:r>
          </w:p>
        </w:tc>
        <w:tc>
          <w:tcPr>
            <w:tcW w:w="1559" w:type="dxa"/>
          </w:tcPr>
          <w:p w14:paraId="0173FC8E" w14:textId="4536D3D4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Jennie Kuzman</w:t>
            </w:r>
          </w:p>
        </w:tc>
        <w:tc>
          <w:tcPr>
            <w:tcW w:w="2410" w:type="dxa"/>
          </w:tcPr>
          <w:p w14:paraId="49969D6D" w14:textId="77777777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Ange Blom</w:t>
            </w:r>
          </w:p>
          <w:p w14:paraId="59AC9586" w14:textId="01427FF4" w:rsidR="00A64EBD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 Jarrod Graham</w:t>
            </w:r>
          </w:p>
        </w:tc>
      </w:tr>
      <w:tr w:rsidR="00BC194C" w14:paraId="66DBDF12" w14:textId="77777777" w:rsidTr="00430CC2">
        <w:tc>
          <w:tcPr>
            <w:tcW w:w="2689" w:type="dxa"/>
          </w:tcPr>
          <w:p w14:paraId="3210E4CF" w14:textId="4027811F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Branch Managers Report</w:t>
            </w:r>
          </w:p>
        </w:tc>
        <w:tc>
          <w:tcPr>
            <w:tcW w:w="7654" w:type="dxa"/>
          </w:tcPr>
          <w:p w14:paraId="01FCF2D3" w14:textId="77777777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Jennie Kuzman, Branch Manager.</w:t>
            </w:r>
          </w:p>
          <w:p w14:paraId="72473CA4" w14:textId="77777777" w:rsidR="00A64EBD" w:rsidRDefault="00A64EBD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64EBD">
              <w:rPr>
                <w:rFonts w:ascii="Arial" w:hAnsi="Arial" w:cs="Arial"/>
                <w:sz w:val="24"/>
                <w:szCs w:val="24"/>
              </w:rPr>
              <w:t>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difficult year to achieve face to face meetings and events due to ongoing COVID restrictions.</w:t>
            </w:r>
          </w:p>
          <w:p w14:paraId="4D26BA88" w14:textId="344B15FB" w:rsidR="00D64014" w:rsidRPr="00D64014" w:rsidRDefault="00D64014" w:rsidP="00D6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(Copy of report attached)</w:t>
            </w:r>
          </w:p>
        </w:tc>
        <w:tc>
          <w:tcPr>
            <w:tcW w:w="1559" w:type="dxa"/>
          </w:tcPr>
          <w:p w14:paraId="61CECB5F" w14:textId="4850B64B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Jennie Kuzman</w:t>
            </w:r>
          </w:p>
        </w:tc>
        <w:tc>
          <w:tcPr>
            <w:tcW w:w="2410" w:type="dxa"/>
          </w:tcPr>
          <w:p w14:paraId="555CDECA" w14:textId="3BC276CD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C194C" w14:paraId="5F692D47" w14:textId="77777777" w:rsidTr="00430CC2">
        <w:tc>
          <w:tcPr>
            <w:tcW w:w="2689" w:type="dxa"/>
          </w:tcPr>
          <w:p w14:paraId="523E48AD" w14:textId="59DCF6E5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Update</w:t>
            </w:r>
          </w:p>
        </w:tc>
        <w:tc>
          <w:tcPr>
            <w:tcW w:w="7654" w:type="dxa"/>
          </w:tcPr>
          <w:p w14:paraId="5AF7796F" w14:textId="77777777" w:rsidR="00BC194C" w:rsidRDefault="00A64EBD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Selena Armstrong, CEO NZISM.</w:t>
            </w:r>
          </w:p>
          <w:p w14:paraId="3343756B" w14:textId="77777777" w:rsidR="00A64EBD" w:rsidRDefault="00430CC2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Selena thanked Jennie for her role as Branch Manager. Local branches rely on those that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volunteer their time.</w:t>
            </w:r>
          </w:p>
          <w:p w14:paraId="3F3461E1" w14:textId="3050D935" w:rsidR="00430CC2" w:rsidRDefault="00430CC2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Project running at present</w:t>
            </w:r>
            <w:r w:rsidR="00DE793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looking </w:t>
            </w:r>
            <w:r w:rsidR="00DE793E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tertiary education, engaging providers that offer Health and Safety education</w:t>
            </w:r>
            <w:r w:rsidR="002E5DE7">
              <w:rPr>
                <w:rFonts w:ascii="Arial" w:hAnsi="Arial" w:cs="Arial"/>
                <w:sz w:val="24"/>
                <w:szCs w:val="24"/>
              </w:rPr>
              <w:t xml:space="preserve"> as well as stakeholders that employ graduates of these courses. </w:t>
            </w:r>
            <w:r w:rsidR="004A6E6C">
              <w:rPr>
                <w:rFonts w:ascii="Arial" w:hAnsi="Arial" w:cs="Arial"/>
                <w:sz w:val="24"/>
                <w:szCs w:val="24"/>
              </w:rPr>
              <w:t xml:space="preserve">Currently NZISM does not have any input into the content of the courses. </w:t>
            </w:r>
            <w:r w:rsidR="002E5DE7">
              <w:rPr>
                <w:rFonts w:ascii="Arial" w:hAnsi="Arial" w:cs="Arial"/>
                <w:sz w:val="24"/>
                <w:szCs w:val="24"/>
              </w:rPr>
              <w:t xml:space="preserve">Currently there is a potential disconnect between </w:t>
            </w:r>
            <w:r w:rsidR="00ED11F2">
              <w:rPr>
                <w:rFonts w:ascii="Arial" w:hAnsi="Arial" w:cs="Arial"/>
                <w:sz w:val="24"/>
                <w:szCs w:val="24"/>
              </w:rPr>
              <w:t>employer’s</w:t>
            </w:r>
            <w:r w:rsidR="002E5DE7">
              <w:rPr>
                <w:rFonts w:ascii="Arial" w:hAnsi="Arial" w:cs="Arial"/>
                <w:sz w:val="24"/>
                <w:szCs w:val="24"/>
              </w:rPr>
              <w:t xml:space="preserve"> expectations of qualified graduates, and there actual abilities. Focus of project is improving the quality of the course materials and quality of graduates. Initial report expected to be out in a few </w:t>
            </w:r>
            <w:r w:rsidR="00ED11F2">
              <w:rPr>
                <w:rFonts w:ascii="Arial" w:hAnsi="Arial" w:cs="Arial"/>
                <w:sz w:val="24"/>
                <w:szCs w:val="24"/>
              </w:rPr>
              <w:t>weeks’ time</w:t>
            </w:r>
            <w:r w:rsidR="002E5DE7">
              <w:rPr>
                <w:rFonts w:ascii="Arial" w:hAnsi="Arial" w:cs="Arial"/>
                <w:sz w:val="24"/>
                <w:szCs w:val="24"/>
              </w:rPr>
              <w:t>, watch for this in the newsletter.</w:t>
            </w:r>
          </w:p>
          <w:p w14:paraId="65AFCD11" w14:textId="0F9C2648" w:rsidR="004A6E6C" w:rsidRDefault="004A6E6C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sector forums are coming (</w:t>
            </w:r>
            <w:r w:rsidR="00ED11F2">
              <w:rPr>
                <w:rFonts w:ascii="Arial" w:hAnsi="Arial" w:cs="Arial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sz w:val="24"/>
                <w:szCs w:val="24"/>
              </w:rPr>
              <w:t xml:space="preserve"> Construction, traffic management, etc). </w:t>
            </w:r>
          </w:p>
          <w:p w14:paraId="4B4C8DE1" w14:textId="77777777" w:rsidR="004A6E6C" w:rsidRDefault="004A6E6C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CPD review process – random review of at least 1 persons CPD each month, with an idea of supporting individuals undertake self assessments and development plans. </w:t>
            </w:r>
          </w:p>
          <w:p w14:paraId="09766FD3" w14:textId="77777777" w:rsidR="004A6E6C" w:rsidRDefault="004A6E6C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Fellowship now new level (Mike Cosman)</w:t>
            </w:r>
          </w:p>
          <w:p w14:paraId="45F1F9E0" w14:textId="044F1CEA" w:rsidR="004A6E6C" w:rsidRDefault="00ED11F2" w:rsidP="00A6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Also,</w:t>
            </w:r>
            <w:r w:rsidR="00E4208F">
              <w:rPr>
                <w:rFonts w:ascii="Arial" w:hAnsi="Arial" w:cs="Arial"/>
                <w:sz w:val="24"/>
                <w:szCs w:val="24"/>
              </w:rPr>
              <w:t xml:space="preserve"> an inaugural interim on the Governance team (1 each year), who joins the Board for governance exposure.</w:t>
            </w:r>
          </w:p>
          <w:p w14:paraId="3A76EBC4" w14:textId="0627F516" w:rsidR="00E4208F" w:rsidRPr="00A64EBD" w:rsidRDefault="00E4208F" w:rsidP="004609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F8CA6" w14:textId="77777777" w:rsidR="00BC194C" w:rsidRDefault="00BC194C" w:rsidP="00BC1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03C353" w14:textId="77777777" w:rsidR="00BC194C" w:rsidRDefault="00BC194C" w:rsidP="00BC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94C" w14:paraId="1917CC18" w14:textId="77777777" w:rsidTr="00430CC2">
        <w:tc>
          <w:tcPr>
            <w:tcW w:w="2689" w:type="dxa"/>
          </w:tcPr>
          <w:p w14:paraId="7F989BFA" w14:textId="1FF78DD2" w:rsidR="00BC194C" w:rsidRDefault="00BC194C" w:rsidP="00BC1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4576B70" w14:textId="77777777" w:rsidR="00D64014" w:rsidRDefault="00D64014" w:rsidP="00D640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questions /queries related to the AGM. </w:t>
            </w:r>
          </w:p>
          <w:p w14:paraId="1CA4CF04" w14:textId="0225702B" w:rsidR="001D06B5" w:rsidRPr="00214431" w:rsidRDefault="00D64014" w:rsidP="00D640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AGM ended 4:10pm </w:t>
            </w:r>
          </w:p>
        </w:tc>
        <w:tc>
          <w:tcPr>
            <w:tcW w:w="1559" w:type="dxa"/>
          </w:tcPr>
          <w:p w14:paraId="79A69667" w14:textId="5E5C2293" w:rsidR="00BC194C" w:rsidRDefault="00D64014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Jennie Kuzman</w:t>
            </w:r>
          </w:p>
        </w:tc>
        <w:tc>
          <w:tcPr>
            <w:tcW w:w="2410" w:type="dxa"/>
          </w:tcPr>
          <w:p w14:paraId="06E4F857" w14:textId="4335F228" w:rsidR="00D64014" w:rsidRDefault="00D64014" w:rsidP="00BC1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1565CD9F" w14:textId="77777777" w:rsidR="00BC194C" w:rsidRDefault="00BC194C" w:rsidP="00BC194C">
      <w:pPr>
        <w:spacing w:line="240" w:lineRule="auto"/>
        <w:rPr>
          <w:rFonts w:ascii="Arial" w:hAnsi="Arial" w:cs="Arial"/>
          <w:sz w:val="24"/>
          <w:szCs w:val="24"/>
        </w:rPr>
      </w:pPr>
    </w:p>
    <w:p w14:paraId="24E9FA9F" w14:textId="77777777" w:rsidR="00D64014" w:rsidRDefault="00D64014" w:rsidP="00BC194C">
      <w:pPr>
        <w:spacing w:line="240" w:lineRule="auto"/>
        <w:rPr>
          <w:rFonts w:ascii="Arial" w:hAnsi="Arial" w:cs="Arial"/>
          <w:sz w:val="24"/>
          <w:szCs w:val="24"/>
        </w:rPr>
      </w:pPr>
    </w:p>
    <w:p w14:paraId="3F406F0B" w14:textId="5BB9643C" w:rsidR="00D64014" w:rsidRDefault="00D64014" w:rsidP="00BC19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Branch Meeting – General </w:t>
      </w:r>
      <w:proofErr w:type="gramStart"/>
      <w:r>
        <w:rPr>
          <w:rFonts w:ascii="Arial" w:hAnsi="Arial" w:cs="Arial"/>
          <w:sz w:val="24"/>
          <w:szCs w:val="24"/>
        </w:rPr>
        <w:t>Business  (</w:t>
      </w:r>
      <w:proofErr w:type="gramEnd"/>
      <w:r>
        <w:rPr>
          <w:rFonts w:ascii="Arial" w:hAnsi="Arial" w:cs="Arial"/>
          <w:sz w:val="24"/>
          <w:szCs w:val="24"/>
        </w:rPr>
        <w:t>4:15pm, 3 June 2022).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721"/>
        <w:gridCol w:w="10591"/>
      </w:tblGrid>
      <w:tr w:rsidR="00D64014" w:rsidRPr="00214431" w14:paraId="7C6176A9" w14:textId="77777777" w:rsidTr="00D64014">
        <w:tc>
          <w:tcPr>
            <w:tcW w:w="3721" w:type="dxa"/>
          </w:tcPr>
          <w:p w14:paraId="2EB984E1" w14:textId="67D34462" w:rsidR="00D64014" w:rsidRDefault="00D64014" w:rsidP="005A7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WorkSafe NZ update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Jo Roe </w:t>
            </w:r>
            <w:r>
              <w:rPr>
                <w:rFonts w:ascii="Arial" w:hAnsi="Arial" w:cs="Arial"/>
                <w:sz w:val="24"/>
                <w:szCs w:val="24"/>
              </w:rPr>
              <w:t>&amp; discussion with the group.</w:t>
            </w:r>
          </w:p>
        </w:tc>
        <w:tc>
          <w:tcPr>
            <w:tcW w:w="10591" w:type="dxa"/>
          </w:tcPr>
          <w:p w14:paraId="1E2B6C41" w14:textId="311523B2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in Asbestos Notifications, there is an Asbestos Protocol for Hawkes Bay. If you want a copy contact </w:t>
            </w:r>
            <w:r>
              <w:rPr>
                <w:rFonts w:ascii="Arial" w:hAnsi="Arial" w:cs="Arial"/>
                <w:sz w:val="24"/>
                <w:szCs w:val="24"/>
              </w:rPr>
              <w:t>Jo Roe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E4C7A8" w14:textId="1500AFDF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Worksafe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>
              <w:rPr>
                <w:rFonts w:ascii="Arial" w:hAnsi="Arial" w:cs="Arial"/>
                <w:sz w:val="24"/>
                <w:szCs w:val="24"/>
              </w:rPr>
              <w:t xml:space="preserve">locally </w:t>
            </w:r>
            <w:r>
              <w:rPr>
                <w:rFonts w:ascii="Arial" w:hAnsi="Arial" w:cs="Arial"/>
                <w:sz w:val="24"/>
                <w:szCs w:val="24"/>
              </w:rPr>
              <w:t>on various area now and into the future:</w:t>
            </w:r>
          </w:p>
          <w:p w14:paraId="1DCC1F2F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 / Machinery – cleaning and maintenance</w:t>
            </w:r>
          </w:p>
          <w:p w14:paraId="3AD5112D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Structure – fall from heights, scaffolding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14:paraId="1B00BBF0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Vehicles – working in vehicles and around them – traffic management</w:t>
            </w:r>
          </w:p>
          <w:p w14:paraId="0636940C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Airborne risks (dust, wood dust, asbestos, welding fumes, carcinogens and other air borne contaminants)</w:t>
            </w:r>
          </w:p>
          <w:p w14:paraId="76DA4A20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Supply chains and upstream PCBU’s.</w:t>
            </w:r>
          </w:p>
          <w:p w14:paraId="2F5AAF8D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Agriculture sector renewed focus</w:t>
            </w:r>
          </w:p>
          <w:p w14:paraId="450D8CDD" w14:textId="77777777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sets of new regulations coming into force next year.</w:t>
            </w:r>
          </w:p>
          <w:p w14:paraId="33E1CF8E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 consultation in July</w:t>
            </w:r>
          </w:p>
          <w:p w14:paraId="78E4492F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Reps – removing the election requirement</w:t>
            </w:r>
          </w:p>
          <w:p w14:paraId="68D87EAB" w14:textId="77777777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triggers an inspection?</w:t>
            </w:r>
          </w:p>
          <w:p w14:paraId="548043DB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Notifications of serious harm (notifiable event)</w:t>
            </w:r>
          </w:p>
          <w:p w14:paraId="57B80B50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 Data</w:t>
            </w:r>
          </w:p>
          <w:p w14:paraId="4A96E556" w14:textId="77777777" w:rsidR="00D64014" w:rsidRDefault="00D64014" w:rsidP="005A7D6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WorkSafe NZ compliance</w:t>
            </w:r>
          </w:p>
          <w:p w14:paraId="19E8F5F4" w14:textId="77777777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Still a focus on supporting and working alongside workplaces, so Engage, Educate then Enforce if needed.</w:t>
            </w:r>
          </w:p>
          <w:p w14:paraId="19303FB9" w14:textId="77777777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Inspectors working remotely, especially with COVID 19 related work. This will continue, as we can still gather information remotely before a visit is required.</w:t>
            </w:r>
          </w:p>
          <w:p w14:paraId="6B096AE1" w14:textId="77777777" w:rsidR="00D64014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on the effect of the Private Investigators and potential impact on WorkSafe NZ inspectors and other H &amp; S consultants. Request feedback from Robyn Bennett.</w:t>
            </w:r>
          </w:p>
          <w:p w14:paraId="63562F4D" w14:textId="77777777" w:rsidR="00D64014" w:rsidRPr="00214431" w:rsidRDefault="00D64014" w:rsidP="005A7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 raised on workers wearing respirators with facial hair. </w:t>
            </w:r>
          </w:p>
        </w:tc>
      </w:tr>
      <w:tr w:rsidR="00D64014" w:rsidRPr="00760E57" w14:paraId="312C31A4" w14:textId="77777777" w:rsidTr="00D64014">
        <w:tc>
          <w:tcPr>
            <w:tcW w:w="3721" w:type="dxa"/>
          </w:tcPr>
          <w:p w14:paraId="42121B7E" w14:textId="77777777" w:rsidR="00D64014" w:rsidRDefault="00D64014" w:rsidP="005A7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Round the table discussion</w:t>
            </w:r>
          </w:p>
        </w:tc>
        <w:tc>
          <w:tcPr>
            <w:tcW w:w="10591" w:type="dxa"/>
          </w:tcPr>
          <w:p w14:paraId="4BB59268" w14:textId="77777777" w:rsidR="00D64014" w:rsidRPr="00242FB7" w:rsidRDefault="00D64014" w:rsidP="005A7D6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42F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Ideas for speakers/topics</w:t>
            </w:r>
          </w:p>
          <w:p w14:paraId="0FBE6D43" w14:textId="77777777" w:rsidR="00D64014" w:rsidRPr="00760E57" w:rsidRDefault="00D64014" w:rsidP="005A7D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0E57">
              <w:rPr>
                <w:rFonts w:ascii="Arial" w:hAnsi="Arial" w:cs="Arial"/>
                <w:sz w:val="24"/>
                <w:szCs w:val="24"/>
              </w:rPr>
              <w:t>Safety2 update</w:t>
            </w:r>
          </w:p>
          <w:p w14:paraId="17724FC6" w14:textId="77777777" w:rsidR="00D64014" w:rsidRPr="00760E57" w:rsidRDefault="00D64014" w:rsidP="005A7D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0E57">
              <w:rPr>
                <w:rFonts w:ascii="Arial" w:hAnsi="Arial" w:cs="Arial"/>
                <w:sz w:val="24"/>
                <w:szCs w:val="24"/>
              </w:rPr>
              <w:t>Conflict Resolution</w:t>
            </w:r>
          </w:p>
          <w:p w14:paraId="176B2DC2" w14:textId="77777777" w:rsidR="00D64014" w:rsidRPr="00760E57" w:rsidRDefault="00D64014" w:rsidP="005A7D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0E57">
              <w:rPr>
                <w:rFonts w:ascii="Arial" w:hAnsi="Arial" w:cs="Arial"/>
                <w:sz w:val="24"/>
                <w:szCs w:val="24"/>
              </w:rPr>
              <w:t xml:space="preserve">Risk management </w:t>
            </w:r>
          </w:p>
          <w:p w14:paraId="05C72241" w14:textId="77777777" w:rsidR="00D64014" w:rsidRPr="00760E57" w:rsidRDefault="00D64014" w:rsidP="005A7D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0E57">
              <w:rPr>
                <w:rFonts w:ascii="Arial" w:hAnsi="Arial" w:cs="Arial"/>
                <w:sz w:val="24"/>
                <w:szCs w:val="24"/>
              </w:rPr>
              <w:t>Drug screening interpretations</w:t>
            </w:r>
          </w:p>
          <w:p w14:paraId="4379C29F" w14:textId="77777777" w:rsidR="00D64014" w:rsidRPr="00760E57" w:rsidRDefault="00D64014" w:rsidP="005A7D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0E57">
              <w:rPr>
                <w:rFonts w:ascii="Arial" w:hAnsi="Arial" w:cs="Arial"/>
                <w:sz w:val="24"/>
                <w:szCs w:val="24"/>
              </w:rPr>
              <w:t>Success Stories</w:t>
            </w:r>
          </w:p>
        </w:tc>
      </w:tr>
    </w:tbl>
    <w:p w14:paraId="012CCCCD" w14:textId="270B4AD2" w:rsidR="00D64014" w:rsidRPr="00435160" w:rsidRDefault="00D64014" w:rsidP="00BC19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ended 4:30pm</w:t>
      </w:r>
    </w:p>
    <w:sectPr w:rsidR="00D64014" w:rsidRPr="00435160" w:rsidSect="00BC1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24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091A" w14:textId="77777777" w:rsidR="00AB49AB" w:rsidRDefault="00AB49AB" w:rsidP="00AB49AB">
      <w:pPr>
        <w:spacing w:after="0" w:line="240" w:lineRule="auto"/>
      </w:pPr>
      <w:r>
        <w:separator/>
      </w:r>
    </w:p>
  </w:endnote>
  <w:endnote w:type="continuationSeparator" w:id="0">
    <w:p w14:paraId="0232F87D" w14:textId="77777777" w:rsidR="00AB49AB" w:rsidRDefault="00AB49AB" w:rsidP="00AB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614A" w14:textId="77777777" w:rsidR="00AB49AB" w:rsidRDefault="00AB4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A7D3" w14:textId="77777777" w:rsidR="00AB49AB" w:rsidRDefault="00AB4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EB11" w14:textId="77777777" w:rsidR="00AB49AB" w:rsidRDefault="00AB4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05D8" w14:textId="77777777" w:rsidR="00AB49AB" w:rsidRDefault="00AB49AB" w:rsidP="00AB49AB">
      <w:pPr>
        <w:spacing w:after="0" w:line="240" w:lineRule="auto"/>
      </w:pPr>
      <w:r>
        <w:separator/>
      </w:r>
    </w:p>
  </w:footnote>
  <w:footnote w:type="continuationSeparator" w:id="0">
    <w:p w14:paraId="1AFEB379" w14:textId="77777777" w:rsidR="00AB49AB" w:rsidRDefault="00AB49AB" w:rsidP="00AB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AA7B" w14:textId="77777777" w:rsidR="00AB49AB" w:rsidRDefault="00AB4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5466" w14:textId="77777777" w:rsidR="00AB49AB" w:rsidRDefault="00AB4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600B" w14:textId="77777777" w:rsidR="00AB49AB" w:rsidRDefault="00AB4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527E"/>
    <w:multiLevelType w:val="hybridMultilevel"/>
    <w:tmpl w:val="0C903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2D69"/>
    <w:multiLevelType w:val="hybridMultilevel"/>
    <w:tmpl w:val="B62E9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2634D"/>
    <w:multiLevelType w:val="hybridMultilevel"/>
    <w:tmpl w:val="AFE43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6"/>
    <w:rsid w:val="0006554F"/>
    <w:rsid w:val="000E70BA"/>
    <w:rsid w:val="000E7BA6"/>
    <w:rsid w:val="00192D80"/>
    <w:rsid w:val="001D06B5"/>
    <w:rsid w:val="00214431"/>
    <w:rsid w:val="00242FB7"/>
    <w:rsid w:val="002B35D1"/>
    <w:rsid w:val="002E5DE7"/>
    <w:rsid w:val="00365DB6"/>
    <w:rsid w:val="00375258"/>
    <w:rsid w:val="00430CC2"/>
    <w:rsid w:val="00435160"/>
    <w:rsid w:val="00460954"/>
    <w:rsid w:val="00481FD6"/>
    <w:rsid w:val="00495A22"/>
    <w:rsid w:val="004A6E6C"/>
    <w:rsid w:val="005B7FB6"/>
    <w:rsid w:val="00660E09"/>
    <w:rsid w:val="00693208"/>
    <w:rsid w:val="00760E57"/>
    <w:rsid w:val="007A55A0"/>
    <w:rsid w:val="007F7FCC"/>
    <w:rsid w:val="00A64EBD"/>
    <w:rsid w:val="00AB49AB"/>
    <w:rsid w:val="00B27442"/>
    <w:rsid w:val="00B37418"/>
    <w:rsid w:val="00BC194C"/>
    <w:rsid w:val="00D218E0"/>
    <w:rsid w:val="00D64014"/>
    <w:rsid w:val="00DB11C3"/>
    <w:rsid w:val="00DE793E"/>
    <w:rsid w:val="00E4208F"/>
    <w:rsid w:val="00ED11F2"/>
    <w:rsid w:val="00FC2CED"/>
    <w:rsid w:val="00FD4C7C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4C6D"/>
  <w15:chartTrackingRefBased/>
  <w15:docId w15:val="{9A14B0E3-CE98-479D-8815-33A5AF0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AB"/>
  </w:style>
  <w:style w:type="paragraph" w:styleId="Footer">
    <w:name w:val="footer"/>
    <w:basedOn w:val="Normal"/>
    <w:link w:val="FooterChar"/>
    <w:uiPriority w:val="99"/>
    <w:unhideWhenUsed/>
    <w:rsid w:val="00AB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4B75D6-A6CB-4469-AA9C-56D6944D21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Graham</dc:creator>
  <cp:keywords/>
  <dc:description/>
  <cp:lastModifiedBy>Jennie Kuzman</cp:lastModifiedBy>
  <cp:revision>3</cp:revision>
  <dcterms:created xsi:type="dcterms:W3CDTF">2022-07-03T22:46:00Z</dcterms:created>
  <dcterms:modified xsi:type="dcterms:W3CDTF">2022-07-03T22:46:00Z</dcterms:modified>
</cp:coreProperties>
</file>